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4F5" w:rsidRPr="006014F5" w:rsidRDefault="006014F5" w:rsidP="006014F5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  <w:t>GARDEN HIL NOVA GODINA 2025</w:t>
      </w:r>
    </w:p>
    <w:p w:rsidR="006014F5" w:rsidRPr="006014F5" w:rsidRDefault="006014F5" w:rsidP="006014F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Cena po osobi</w:t>
      </w: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se kreće </w:t>
      </w:r>
      <w:r w:rsidRPr="006014F5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 55€ do 85€</w:t>
      </w: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u zavisnosti od pozicije stola u samoj sali i uključuje svečano banket sedenje, neograničenu konzumaciju alkoholnih i bezalkoholnih pića predviđenih ponudom i kompletnu svečanu večeru! (</w:t>
      </w:r>
      <w:r w:rsidRPr="006014F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vidi na map</w:t>
      </w: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i).</w:t>
      </w:r>
    </w:p>
    <w:p w:rsidR="006014F5" w:rsidRPr="006014F5" w:rsidRDefault="006014F5" w:rsidP="006014F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008080"/>
          <w:sz w:val="21"/>
          <w:szCs w:val="21"/>
          <w:lang w:eastAsia="en-GB"/>
        </w:rPr>
        <w:t>Zelena zona</w:t>
      </w:r>
      <w:r w:rsidRPr="006014F5">
        <w:rPr>
          <w:rFonts w:ascii="Open Sans" w:eastAsia="Times New Roman" w:hAnsi="Open Sans" w:cs="Open Sans"/>
          <w:color w:val="008080"/>
          <w:sz w:val="21"/>
          <w:szCs w:val="21"/>
          <w:lang w:eastAsia="en-GB"/>
        </w:rPr>
        <w:t> - </w:t>
      </w:r>
      <w:r w:rsidRPr="006014F5">
        <w:rPr>
          <w:rFonts w:ascii="Open Sans" w:eastAsia="Times New Roman" w:hAnsi="Open Sans" w:cs="Open Sans"/>
          <w:b/>
          <w:bCs/>
          <w:color w:val="008080"/>
          <w:sz w:val="21"/>
          <w:szCs w:val="21"/>
          <w:lang w:eastAsia="en-GB"/>
        </w:rPr>
        <w:t>55€</w:t>
      </w:r>
    </w:p>
    <w:p w:rsidR="006014F5" w:rsidRPr="006014F5" w:rsidRDefault="006014F5" w:rsidP="006014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000080"/>
          <w:sz w:val="21"/>
          <w:szCs w:val="21"/>
          <w:lang w:eastAsia="en-GB"/>
        </w:rPr>
        <w:t>Plava zona</w:t>
      </w:r>
      <w:r w:rsidRPr="006014F5">
        <w:rPr>
          <w:rFonts w:ascii="Open Sans" w:eastAsia="Times New Roman" w:hAnsi="Open Sans" w:cs="Open Sans"/>
          <w:color w:val="000080"/>
          <w:sz w:val="21"/>
          <w:szCs w:val="21"/>
          <w:lang w:eastAsia="en-GB"/>
        </w:rPr>
        <w:t> -</w:t>
      </w:r>
      <w:r w:rsidRPr="006014F5">
        <w:rPr>
          <w:rFonts w:ascii="Open Sans" w:eastAsia="Times New Roman" w:hAnsi="Open Sans" w:cs="Open Sans"/>
          <w:b/>
          <w:bCs/>
          <w:color w:val="000080"/>
          <w:sz w:val="21"/>
          <w:szCs w:val="21"/>
          <w:lang w:eastAsia="en-GB"/>
        </w:rPr>
        <w:t> 65€</w:t>
      </w:r>
    </w:p>
    <w:p w:rsidR="006014F5" w:rsidRPr="006014F5" w:rsidRDefault="006014F5" w:rsidP="006014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Crvena zona</w:t>
      </w:r>
      <w:r w:rsidRPr="006014F5">
        <w:rPr>
          <w:rFonts w:ascii="Open Sans" w:eastAsia="Times New Roman" w:hAnsi="Open Sans" w:cs="Open Sans"/>
          <w:color w:val="FF0000"/>
          <w:sz w:val="21"/>
          <w:szCs w:val="21"/>
          <w:lang w:eastAsia="en-GB"/>
        </w:rPr>
        <w:t> - </w:t>
      </w:r>
      <w:r w:rsidRPr="006014F5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75€</w:t>
      </w:r>
    </w:p>
    <w:p w:rsidR="006014F5" w:rsidRPr="006014F5" w:rsidRDefault="006014F5" w:rsidP="006014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Zlatna zona</w:t>
      </w:r>
      <w:r w:rsidRPr="006014F5">
        <w:rPr>
          <w:rFonts w:ascii="Open Sans" w:eastAsia="Times New Roman" w:hAnsi="Open Sans" w:cs="Open Sans"/>
          <w:color w:val="FFCC00"/>
          <w:sz w:val="21"/>
          <w:szCs w:val="21"/>
          <w:lang w:eastAsia="en-GB"/>
        </w:rPr>
        <w:t> - </w:t>
      </w:r>
      <w:r w:rsidRPr="006014F5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85€</w:t>
      </w:r>
    </w:p>
    <w:p w:rsidR="006014F5" w:rsidRPr="006014F5" w:rsidRDefault="006014F5" w:rsidP="006014F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PROSTORA:</w:t>
      </w:r>
    </w:p>
    <w:p w:rsidR="00D94B99" w:rsidRDefault="00D94B99"/>
    <w:p w:rsidR="006014F5" w:rsidRDefault="006014F5">
      <w:r>
        <w:rPr>
          <w:noProof/>
        </w:rPr>
        <w:drawing>
          <wp:inline distT="0" distB="0" distL="0" distR="0">
            <wp:extent cx="5731510" cy="3037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F5" w:rsidRDefault="006014F5"/>
    <w:p w:rsidR="006014F5" w:rsidRPr="006014F5" w:rsidRDefault="006014F5" w:rsidP="006014F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6014F5" w:rsidRPr="006014F5" w:rsidRDefault="006014F5" w:rsidP="006014F5">
      <w:pPr>
        <w:rPr>
          <w:rFonts w:ascii="Times New Roman" w:eastAsia="Times New Roman" w:hAnsi="Times New Roman" w:cs="Times New Roman"/>
          <w:lang w:eastAsia="en-GB"/>
        </w:rPr>
      </w:pPr>
    </w:p>
    <w:p w:rsidR="006014F5" w:rsidRDefault="006014F5"/>
    <w:p w:rsidR="006014F5" w:rsidRPr="006014F5" w:rsidRDefault="006014F5" w:rsidP="006014F5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6014F5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Piće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Neograničena konzumacija pića tokom cele večeri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Pivo (Jelen, Lav, Zaječarsko)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Vino (roze, belo, crveno)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Rakije (kajsija, dunja, šljiva)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Vinjak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- Gorki list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Džin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 Vermut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Voda (gazirana, negazirana)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Sokovi (gazirani, negazirani)</w:t>
      </w:r>
    </w:p>
    <w:p w:rsidR="006014F5" w:rsidRPr="006014F5" w:rsidRDefault="006014F5" w:rsidP="006014F5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6014F5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Hrana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Predjelo: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Pršute (goveđa, svinjska, nejguška, kraški vrat, kulen, čajna)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Sirevi (feta, kačkavalj, sjenički sir)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Paprika u pavlaci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Masline, čvarci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Pite, proje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Glavno jelo: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Dinstana teletina sa prelivom od šampinjona i kuvanim krompirom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Pohovana piletina sa susamom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Salate: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Kupus salata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Grčka salata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Šopska salata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Ljuta papričica</w:t>
      </w:r>
    </w:p>
    <w:p w:rsidR="006014F5" w:rsidRPr="006014F5" w:rsidRDefault="006014F5" w:rsidP="006014F5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014F5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Turšija (karfiol, kornišoni, crvena paprika, zeleni paradajz)</w:t>
      </w:r>
    </w:p>
    <w:p w:rsidR="006014F5" w:rsidRDefault="006014F5"/>
    <w:sectPr w:rsidR="0060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5A1"/>
    <w:multiLevelType w:val="multilevel"/>
    <w:tmpl w:val="D9D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F5"/>
    <w:rsid w:val="006014F5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960B46"/>
  <w15:chartTrackingRefBased/>
  <w15:docId w15:val="{E9C7A05F-0BCA-C241-8438-B25B177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14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014F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014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2024-11-27T13:08:00Z</dcterms:created>
  <dcterms:modified xsi:type="dcterms:W3CDTF">2024-11-27T13:09:00Z</dcterms:modified>
</cp:coreProperties>
</file>